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4EB5C838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22120A" w:rsidRPr="0022120A">
        <w:rPr>
          <w:rFonts w:ascii="Times New Roman" w:eastAsia="Times New Roman" w:hAnsi="Times New Roman" w:cs="Times New Roman"/>
          <w:b/>
          <w:sz w:val="24"/>
          <w:szCs w:val="24"/>
        </w:rPr>
        <w:t>„ДОСТАВКА НА КОМПЮТЪРНО И ОФИС ОБОРУДВАНЕ, НЕОБХОДИМО ЗА ЛАБОРАТОРИИТЕ НА ЦК КВАЗАР, НА ТЕРИТОРИЯТА НА ИР-БАН И ВВМУ-ВАРНА“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53FC7840" w:rsidR="00F93FC8" w:rsidRDefault="0022120A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eastAsia="Times New Roman" w:hAnsi="Times New Roman"/>
          <w:b/>
          <w:sz w:val="24"/>
          <w:szCs w:val="24"/>
        </w:rPr>
        <w:t>„ДОСТАВКА НА КОМПЮТЪРНО И ОФИС ОБОРУДВАНЕ, НЕОБХОДИМО ЗА ЛАБОРАТОРИИТЕ НА ЦК КВАЗАР, НА ТЕРИТОРИЯТА НА ИР-БАН И ВВМУ-ВАРНА“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286A3F84" w:rsidR="003A247B" w:rsidRDefault="0022120A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eastAsia="Times New Roman" w:hAnsi="Times New Roman"/>
          <w:b/>
          <w:sz w:val="24"/>
          <w:szCs w:val="24"/>
        </w:rPr>
        <w:t>„ДОСТАВКА НА КОМПЮТЪРНО И ОФИС ОБОРУДВАНЕ, НЕОБХОДИМО ЗА ЛАБОРАТОРИИТЕ НА ЦК КВАЗАР, НА ТЕРИТОРИЯТА НА ИР-БАН И ВВМУ-ВАРНА“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7802F222" w:rsidR="005D433F" w:rsidRDefault="0022120A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eastAsia="Times New Roman" w:hAnsi="Times New Roman"/>
          <w:b/>
          <w:sz w:val="24"/>
          <w:szCs w:val="24"/>
        </w:rPr>
        <w:t>„ДОСТАВКА НА КОМПЮТЪРНО И ОФИС ОБОРУДВАНЕ, НЕОБХОДИМО ЗА ЛАБОРАТОРИИТЕ НА ЦК КВАЗАР, НА ТЕРИТОРИЯТА НА ИР-БАН И ВВМУ-ВАРНА“</w:t>
      </w:r>
      <w:bookmarkStart w:id="9" w:name="_GoBack"/>
      <w:bookmarkEnd w:id="9"/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AE99" w14:textId="77777777" w:rsidR="00945686" w:rsidRDefault="00945686" w:rsidP="00476F8A">
      <w:pPr>
        <w:spacing w:after="0" w:line="240" w:lineRule="auto"/>
      </w:pPr>
      <w:r>
        <w:separator/>
      </w:r>
    </w:p>
  </w:endnote>
  <w:endnote w:type="continuationSeparator" w:id="0">
    <w:p w14:paraId="68D8F566" w14:textId="77777777" w:rsidR="00945686" w:rsidRDefault="00945686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7137" w14:textId="77777777" w:rsidR="0022120A" w:rsidRDefault="0022120A" w:rsidP="0022120A">
    <w:pPr>
      <w:spacing w:after="0"/>
      <w:jc w:val="both"/>
      <w:rPr>
        <w:rFonts w:ascii="Cambria" w:hAnsi="Cambria"/>
        <w:sz w:val="19"/>
        <w:szCs w:val="19"/>
      </w:rPr>
    </w:pPr>
    <w:r>
      <w:rPr>
        <w:rFonts w:ascii="Cambria" w:hAnsi="Cambria"/>
        <w:sz w:val="19"/>
        <w:szCs w:val="19"/>
      </w:rPr>
      <w:t xml:space="preserve">Проект № </w:t>
    </w:r>
    <w:r w:rsidRPr="007271E0">
      <w:rPr>
        <w:rFonts w:ascii="Cambria" w:hAnsi="Cambria"/>
        <w:sz w:val="19"/>
        <w:szCs w:val="19"/>
      </w:rPr>
      <w:t xml:space="preserve">BG05M2OP001-1.002-0006-C02 </w:t>
    </w:r>
    <w:r>
      <w:rPr>
        <w:rFonts w:ascii="Cambria" w:hAnsi="Cambria"/>
        <w:sz w:val="19"/>
        <w:szCs w:val="19"/>
      </w:rPr>
      <w:t>„Изграждане и развитие на Център за компетентност „Квантова комуникация, интелигентни системи за сигурност и управление на риска“ (</w:t>
    </w:r>
    <w:proofErr w:type="spellStart"/>
    <w:r>
      <w:rPr>
        <w:rFonts w:ascii="Cambria" w:hAnsi="Cambria"/>
        <w:sz w:val="19"/>
        <w:szCs w:val="19"/>
      </w:rPr>
      <w:t>Quasar</w:t>
    </w:r>
    <w:proofErr w:type="spellEnd"/>
    <w:r>
      <w:rPr>
        <w:rFonts w:ascii="Cambria" w:hAnsi="Cambria"/>
        <w:sz w:val="19"/>
        <w:szCs w:val="19"/>
      </w:rPr>
      <w:t>”), финансиран от Европейския съюз чрез ОП НОИР 2014-2020 г.</w:t>
    </w:r>
  </w:p>
  <w:p w14:paraId="178D0EB8" w14:textId="77777777" w:rsidR="0022120A" w:rsidRDefault="0022120A" w:rsidP="0022120A">
    <w:pPr>
      <w:spacing w:after="0"/>
      <w:jc w:val="center"/>
      <w:rPr>
        <w:sz w:val="19"/>
        <w:szCs w:val="19"/>
      </w:rPr>
    </w:pPr>
    <w:r>
      <w:rPr>
        <w:rFonts w:ascii="Cambria" w:hAnsi="Cambria"/>
        <w:sz w:val="19"/>
        <w:szCs w:val="19"/>
      </w:rPr>
      <w:t xml:space="preserve">Управляващ орган- </w:t>
    </w:r>
    <w:r>
      <w:rPr>
        <w:rStyle w:val="gmail-st"/>
        <w:rFonts w:ascii="Cambria" w:hAnsi="Cambria"/>
        <w:sz w:val="19"/>
        <w:szCs w:val="19"/>
      </w:rPr>
      <w:t>Изпълнителна агенция „Оперативна програма "Наука и образование за интелигентен растеж“</w:t>
    </w:r>
    <w:r w:rsidRPr="004E27CC">
      <w:rPr>
        <w:sz w:val="19"/>
        <w:szCs w:val="19"/>
      </w:rPr>
      <w:t>.</w:t>
    </w:r>
  </w:p>
  <w:p w14:paraId="085A7F2B" w14:textId="197A641D" w:rsidR="00BF4BD0" w:rsidRPr="007C4A1F" w:rsidRDefault="0022120A" w:rsidP="0022120A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>
        <w:rPr>
          <w:rStyle w:val="Hyperlink"/>
          <w:rFonts w:ascii="Cambria" w:hAnsi="Cambria"/>
          <w:sz w:val="19"/>
          <w:szCs w:val="19"/>
        </w:rPr>
        <w:t>www.eufunds.bg</w:t>
      </w:r>
    </w:hyperlink>
  </w:p>
  <w:p w14:paraId="235E737D" w14:textId="42C2DC2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753F" w14:textId="77777777" w:rsidR="00945686" w:rsidRDefault="00945686" w:rsidP="00476F8A">
      <w:pPr>
        <w:spacing w:after="0" w:line="240" w:lineRule="auto"/>
      </w:pPr>
      <w:r>
        <w:separator/>
      </w:r>
    </w:p>
  </w:footnote>
  <w:footnote w:type="continuationSeparator" w:id="0">
    <w:p w14:paraId="4A7A7C8B" w14:textId="77777777" w:rsidR="00945686" w:rsidRDefault="00945686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BF4BD0" w:rsidRDefault="00BF4BD0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BF4BD0" w:rsidRDefault="00BF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120A"/>
    <w:rsid w:val="002240EC"/>
    <w:rsid w:val="003759D6"/>
    <w:rsid w:val="003A247B"/>
    <w:rsid w:val="003E3070"/>
    <w:rsid w:val="003E4C71"/>
    <w:rsid w:val="0046175B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45686"/>
    <w:rsid w:val="00963826"/>
    <w:rsid w:val="009B7B84"/>
    <w:rsid w:val="00A04397"/>
    <w:rsid w:val="00A326F4"/>
    <w:rsid w:val="00AB6F5E"/>
    <w:rsid w:val="00AC5D82"/>
    <w:rsid w:val="00AF514A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6F0F-83B6-4FBC-9EDB-4C243FEA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1192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17</cp:revision>
  <dcterms:created xsi:type="dcterms:W3CDTF">2019-03-18T21:24:00Z</dcterms:created>
  <dcterms:modified xsi:type="dcterms:W3CDTF">2019-11-07T04:27:00Z</dcterms:modified>
</cp:coreProperties>
</file>