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4C884740" w:rsidR="007A5DC6" w:rsidRDefault="007A5DC6" w:rsidP="0064399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A326F4" w:rsidRPr="00A326F4">
        <w:rPr>
          <w:rFonts w:ascii="Times New Roman" w:eastAsia="Times New Roman" w:hAnsi="Times New Roman" w:cs="Times New Roman"/>
          <w:b/>
          <w:sz w:val="24"/>
          <w:szCs w:val="24"/>
        </w:rPr>
        <w:t>„ДОСТАВКА НА КОМПЮТЪРНО ОБОРУДВАНЕ ЗА НУЖДИТЕ НА ИР БАН, ПО ДОГОВОР № BG05M2OP001-1.002-0023, ЦК „ИНТЕЛИГЕНТНИ МЕХАТРОННИ, EКО- И ЕНЕРГОСПЕСТЯВАЩИ СИСТЕМИ И ТЕХНОЛОГИИ“, ОП НОИР 2014-2020“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lastRenderedPageBreak/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0D4B8AFC" w:rsidR="00F93FC8" w:rsidRDefault="00A326F4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6F4">
        <w:rPr>
          <w:rFonts w:ascii="Times New Roman" w:eastAsia="Times New Roman" w:hAnsi="Times New Roman" w:cs="Times New Roman"/>
          <w:b/>
          <w:sz w:val="24"/>
          <w:szCs w:val="24"/>
        </w:rPr>
        <w:t>„ДОСТАВКА НА КОМПЮТЪРНО ОБОРУДВАНЕ ЗА НУЖДИТЕ НА ИР БАН, ПО ДОГОВОР № BG05M2OP001-1.002-0023, ЦК „ИНТЕЛИГЕНТНИ МЕХАТРОННИ, EКО- И ЕНЕРГОСПЕСТЯВАЩИ СИСТЕМИ И ТЕХНОЛОГИИ“, ОП НОИР 2014-2020“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2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3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4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56791825" w:rsidR="003A247B" w:rsidRDefault="00A326F4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6F4">
        <w:rPr>
          <w:rFonts w:ascii="Times New Roman" w:eastAsia="Times New Roman" w:hAnsi="Times New Roman" w:cs="Times New Roman"/>
          <w:b/>
          <w:sz w:val="24"/>
          <w:szCs w:val="24"/>
        </w:rPr>
        <w:t>„ДОСТАВКА НА КОМПЮТЪРНО ОБОРУДВАНЕ ЗА НУЖДИТЕ НА ИР БАН, ПО ДОГОВОР № BG05M2OP001-1.002-0023, ЦК „ИНТЕЛИГЕНТНИ МЕХАТРОННИ, EКО- И ЕНЕРГОСПЕСТЯВАЩИ СИСТЕМИ И ТЕХНОЛОГИИ“, ОП НОИР 2014-2020“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2"/>
      <w:bookmarkStart w:id="6" w:name="_Ref343084643"/>
      <w:bookmarkStart w:id="7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5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8"/>
    </w:p>
    <w:bookmarkEnd w:id="6"/>
    <w:bookmarkEnd w:id="7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607EBA18" w:rsidR="005D433F" w:rsidRDefault="00A326F4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6F4">
        <w:rPr>
          <w:rFonts w:ascii="Times New Roman" w:eastAsia="Times New Roman" w:hAnsi="Times New Roman" w:cs="Times New Roman"/>
          <w:b/>
          <w:sz w:val="24"/>
          <w:szCs w:val="24"/>
        </w:rPr>
        <w:t>„ДОСТАВКА НА КОМПЮТЪРНО ОБОРУДВАНЕ ЗА НУЖДИТЕ НА ИР БАН, ПО ДОГОВОР № BG05M2OP001-1.002-0023, ЦК „ИНТЕЛИГЕНТНИ МЕХАТРОННИ, EКО- И ЕНЕРГОСПЕСТЯВАЩИ СИСТЕМИ И ТЕХНОЛОГИИ“, ОП НОИР 2014-2020“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21270" w14:textId="00E3A97D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9" w:name="_GoBack"/>
      <w:bookmarkEnd w:id="9"/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C338A" w14:textId="77777777" w:rsidR="00065EDC" w:rsidRDefault="00065EDC" w:rsidP="00476F8A">
      <w:pPr>
        <w:spacing w:after="0" w:line="240" w:lineRule="auto"/>
      </w:pPr>
      <w:r>
        <w:separator/>
      </w:r>
    </w:p>
  </w:endnote>
  <w:endnote w:type="continuationSeparator" w:id="0">
    <w:p w14:paraId="1A1D2B9A" w14:textId="77777777" w:rsidR="00065EDC" w:rsidRDefault="00065EDC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8B95" w14:textId="72B8F388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 xml:space="preserve">Проект </w:t>
    </w:r>
    <w:r w:rsidR="00A326F4">
      <w:rPr>
        <w:rFonts w:ascii="Times New Roman" w:eastAsia="Times New Roman" w:hAnsi="Times New Roman" w:cs="Times New Roman"/>
        <w:sz w:val="16"/>
        <w:szCs w:val="16"/>
      </w:rPr>
      <w:t>№ BG05M2OP001-1.002-0023</w:t>
    </w:r>
    <w:r w:rsidRPr="00F9607E">
      <w:rPr>
        <w:rFonts w:ascii="Times New Roman" w:eastAsia="Times New Roman" w:hAnsi="Times New Roman" w:cs="Times New Roman"/>
        <w:sz w:val="16"/>
        <w:szCs w:val="16"/>
      </w:rPr>
      <w:t xml:space="preserve"> Център за компетентност „Интелигентни </w:t>
    </w:r>
    <w:proofErr w:type="spellStart"/>
    <w:r w:rsidRPr="00F9607E">
      <w:rPr>
        <w:rFonts w:ascii="Times New Roman" w:eastAsia="Times New Roman" w:hAnsi="Times New Roman" w:cs="Times New Roman"/>
        <w:sz w:val="16"/>
        <w:szCs w:val="16"/>
      </w:rPr>
      <w:t>мехатронни</w:t>
    </w:r>
    <w:proofErr w:type="spellEnd"/>
    <w:r w:rsidRPr="00F9607E">
      <w:rPr>
        <w:rFonts w:ascii="Times New Roman" w:eastAsia="Times New Roman" w:hAnsi="Times New Roman" w:cs="Times New Roman"/>
        <w:sz w:val="16"/>
        <w:szCs w:val="16"/>
      </w:rPr>
      <w:t>, еко- и енергоспестяващи системи и технологии“</w:t>
    </w:r>
    <w:r w:rsidRPr="007C4A1F">
      <w:rPr>
        <w:rFonts w:ascii="Times New Roman" w:eastAsia="Times New Roman" w:hAnsi="Times New Roman" w:cs="Times New Roman"/>
        <w:sz w:val="16"/>
        <w:szCs w:val="16"/>
      </w:rPr>
      <w:t>, финансиран от Европейския съюз чрез ОП НОИР 2014-2020 г.</w:t>
    </w:r>
  </w:p>
  <w:p w14:paraId="4BC6AB9E" w14:textId="7777777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085A7F2B" w14:textId="1FB2BA19" w:rsidR="00BF4BD0" w:rsidRPr="007C4A1F" w:rsidRDefault="00065EDC" w:rsidP="00BF4BD0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BF4BD0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BF4BD0" w:rsidRPr="007C4A1F" w:rsidRDefault="00BF4BD0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8048" w14:textId="77777777" w:rsidR="00065EDC" w:rsidRDefault="00065EDC" w:rsidP="00476F8A">
      <w:pPr>
        <w:spacing w:after="0" w:line="240" w:lineRule="auto"/>
      </w:pPr>
      <w:r>
        <w:separator/>
      </w:r>
    </w:p>
  </w:footnote>
  <w:footnote w:type="continuationSeparator" w:id="0">
    <w:p w14:paraId="3943A9A8" w14:textId="77777777" w:rsidR="00065EDC" w:rsidRDefault="00065EDC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BF4BD0" w:rsidRPr="00670694" w:rsidRDefault="00BF4BD0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BF4BD0" w:rsidRPr="00670694" w:rsidRDefault="00BF4BD0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BF4BD0" w:rsidRPr="00670694" w:rsidRDefault="00BF4BD0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BF4BD0" w:rsidRPr="00670694" w:rsidRDefault="00BF4BD0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BF4BD0" w:rsidRDefault="00BF4BD0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BF4BD0" w:rsidRDefault="00BF4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65EDC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40EC"/>
    <w:rsid w:val="003759D6"/>
    <w:rsid w:val="003A247B"/>
    <w:rsid w:val="003E3070"/>
    <w:rsid w:val="003E4C71"/>
    <w:rsid w:val="0046175B"/>
    <w:rsid w:val="00476F8A"/>
    <w:rsid w:val="005A4F71"/>
    <w:rsid w:val="005D433F"/>
    <w:rsid w:val="006074E3"/>
    <w:rsid w:val="00643995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63826"/>
    <w:rsid w:val="009B7B84"/>
    <w:rsid w:val="00A04397"/>
    <w:rsid w:val="00A326F4"/>
    <w:rsid w:val="00AB6F5E"/>
    <w:rsid w:val="00AC5D82"/>
    <w:rsid w:val="00AF514A"/>
    <w:rsid w:val="00BD6293"/>
    <w:rsid w:val="00BF4BD0"/>
    <w:rsid w:val="00C24D35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9600-D41E-4EC4-8499-99AE7441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16</cp:revision>
  <dcterms:created xsi:type="dcterms:W3CDTF">2019-03-18T21:24:00Z</dcterms:created>
  <dcterms:modified xsi:type="dcterms:W3CDTF">2019-07-17T08:32:00Z</dcterms:modified>
</cp:coreProperties>
</file>